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/>
        <w:jc w:val="center"/>
        <w:rPr>
          <w:sz w:val="26"/>
          <w:szCs w:val="26"/>
        </w:rPr>
      </w:pPr>
      <w:bookmarkStart w:id="0" w:name="_GoBack"/>
      <w:bookmarkEnd w:id="0"/>
      <w:r>
        <w:rPr>
          <w:rFonts w:cs="Times New Roman"/>
          <w:b/>
          <w:sz w:val="26"/>
          <w:szCs w:val="26"/>
        </w:rPr>
        <w:t xml:space="preserve">О состоянии работы с предложениями, заявлениями и жалобами граждан и организаций, организации личного приема в Управлении Росгвардии по Саратовской области в </w:t>
      </w:r>
      <w:r>
        <w:rPr>
          <w:rFonts w:eastAsia="Calibri" w:cs="Times New Roman" w:eastAsiaTheme="minorHAnsi"/>
          <w:b/>
          <w:color w:val="auto"/>
          <w:kern w:val="0"/>
          <w:sz w:val="26"/>
          <w:szCs w:val="26"/>
          <w:lang w:val="ru-RU" w:eastAsia="en-US" w:bidi="ar-SA"/>
        </w:rPr>
        <w:t>т</w:t>
      </w:r>
      <w:r>
        <w:rPr>
          <w:rFonts w:eastAsia="Calibri" w:cs="Times New Roman" w:eastAsiaTheme="minorHAnsi"/>
          <w:b/>
          <w:color w:val="auto"/>
          <w:kern w:val="0"/>
          <w:sz w:val="26"/>
          <w:szCs w:val="26"/>
          <w:lang w:val="ru-RU" w:eastAsia="en-US" w:bidi="ar-SA"/>
        </w:rPr>
        <w:t>р</w:t>
      </w:r>
      <w:r>
        <w:rPr>
          <w:rFonts w:eastAsia="Calibri" w:cs="Times New Roman" w:eastAsiaTheme="minorHAnsi"/>
          <w:b/>
          <w:color w:val="auto"/>
          <w:kern w:val="0"/>
          <w:sz w:val="26"/>
          <w:szCs w:val="26"/>
          <w:lang w:val="ru-RU" w:eastAsia="en-US" w:bidi="ar-SA"/>
        </w:rPr>
        <w:t>е</w:t>
      </w:r>
      <w:r>
        <w:rPr>
          <w:rFonts w:eastAsia="Calibri" w:cs="Times New Roman" w:eastAsiaTheme="minorHAnsi"/>
          <w:b/>
          <w:color w:val="auto"/>
          <w:kern w:val="0"/>
          <w:sz w:val="26"/>
          <w:szCs w:val="26"/>
          <w:lang w:val="ru-RU" w:eastAsia="en-US" w:bidi="ar-SA"/>
        </w:rPr>
        <w:t>т</w:t>
      </w:r>
      <w:r>
        <w:rPr>
          <w:rFonts w:eastAsia="Calibri" w:cs="Times New Roman" w:eastAsiaTheme="minorHAnsi"/>
          <w:b/>
          <w:color w:val="auto"/>
          <w:kern w:val="0"/>
          <w:sz w:val="26"/>
          <w:szCs w:val="26"/>
          <w:lang w:val="ru-RU" w:eastAsia="en-US" w:bidi="ar-SA"/>
        </w:rPr>
        <w:t>ь</w:t>
      </w:r>
      <w:r>
        <w:rPr>
          <w:rFonts w:eastAsia="Calibri" w:cs="Times New Roman" w:eastAsiaTheme="minorHAnsi"/>
          <w:b/>
          <w:color w:val="auto"/>
          <w:kern w:val="0"/>
          <w:sz w:val="26"/>
          <w:szCs w:val="26"/>
          <w:lang w:val="ru-RU" w:eastAsia="en-US" w:bidi="ar-SA"/>
        </w:rPr>
        <w:t>е</w:t>
      </w:r>
      <w:r>
        <w:rPr>
          <w:rFonts w:eastAsia="Calibri" w:cs="Times New Roman" w:eastAsiaTheme="minorHAnsi"/>
          <w:b/>
          <w:color w:val="auto"/>
          <w:kern w:val="0"/>
          <w:sz w:val="26"/>
          <w:szCs w:val="26"/>
          <w:lang w:val="ru-RU" w:eastAsia="en-US" w:bidi="ar-SA"/>
        </w:rPr>
        <w:t>м</w:t>
      </w:r>
      <w:r>
        <w:rPr>
          <w:rFonts w:cs="Times New Roman"/>
          <w:b/>
          <w:sz w:val="26"/>
          <w:szCs w:val="26"/>
        </w:rPr>
        <w:t xml:space="preserve"> </w:t>
      </w:r>
      <w:r>
        <w:rPr>
          <w:rFonts w:cs="Times New Roman"/>
          <w:b/>
          <w:sz w:val="26"/>
          <w:szCs w:val="26"/>
        </w:rPr>
        <w:t>к</w:t>
      </w:r>
      <w:r>
        <w:rPr>
          <w:rFonts w:cs="Times New Roman"/>
          <w:b/>
          <w:sz w:val="26"/>
          <w:szCs w:val="26"/>
        </w:rPr>
        <w:t>вартале 202</w:t>
      </w:r>
      <w:r>
        <w:rPr>
          <w:rFonts w:cs="Times New Roman"/>
          <w:b/>
          <w:sz w:val="26"/>
          <w:szCs w:val="26"/>
        </w:rPr>
        <w:t>5</w:t>
      </w:r>
      <w:r>
        <w:rPr>
          <w:rFonts w:cs="Times New Roman"/>
          <w:b/>
          <w:sz w:val="26"/>
          <w:szCs w:val="26"/>
        </w:rPr>
        <w:t xml:space="preserve"> года</w:t>
      </w:r>
    </w:p>
    <w:p>
      <w:pPr>
        <w:pStyle w:val="Normal"/>
        <w:spacing w:lineRule="auto" w:line="24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cs="Times New Roman"/>
          <w:b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sz w:val="26"/>
          <w:szCs w:val="26"/>
        </w:rPr>
      </w:pPr>
      <w:r>
        <w:rPr>
          <w:rFonts w:cs="Times New Roman"/>
          <w:sz w:val="26"/>
          <w:szCs w:val="26"/>
        </w:rPr>
        <w:tab/>
        <w:t>Работа с обращениями, признанная  обеспечить соблюдение, охрану, защиту, а при необходимости и восстановление нарушенных конституционных прав и законных интересов граждан, была и остается важнейшим направлением деятельности Росгвардии.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Всего за </w:t>
      </w:r>
      <w:r>
        <w:rPr>
          <w:rFonts w:eastAsia="Times New Roman" w:cs="Times New Roman"/>
          <w:color w:val="auto"/>
          <w:kern w:val="0"/>
          <w:sz w:val="26"/>
          <w:szCs w:val="26"/>
          <w:lang w:val="en-US" w:eastAsia="ru-RU" w:bidi="ar-SA"/>
        </w:rPr>
        <w:t>III</w:t>
      </w:r>
      <w:r>
        <w:rPr>
          <w:sz w:val="26"/>
          <w:szCs w:val="26"/>
        </w:rPr>
        <w:t xml:space="preserve"> квартал 2025 г. в Управлении Росгвардии по Саратовской области зарегистрировано </w:t>
      </w:r>
      <w:r>
        <w:rPr>
          <w:rFonts w:eastAsia="Times New Roman" w:cs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77</w:t>
      </w:r>
      <w:r>
        <w:rPr>
          <w:b w:val="false"/>
          <w:bCs w:val="false"/>
          <w:sz w:val="26"/>
          <w:szCs w:val="26"/>
        </w:rPr>
        <w:t xml:space="preserve"> обращений</w:t>
      </w:r>
      <w:r>
        <w:rPr>
          <w:rFonts w:eastAsia="Times New Roman" w:cs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 (в 2024 г. - </w:t>
      </w:r>
      <w:r>
        <w:rPr>
          <w:rFonts w:eastAsia="Times New Roman" w:cs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52</w:t>
      </w:r>
      <w:r>
        <w:rPr>
          <w:rFonts w:eastAsia="Times New Roman" w:cs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)</w:t>
      </w:r>
      <w:r>
        <w:rPr>
          <w:b w:val="false"/>
          <w:bCs w:val="false"/>
          <w:color w:val="000000"/>
          <w:sz w:val="26"/>
          <w:szCs w:val="26"/>
        </w:rPr>
        <w:t xml:space="preserve">. 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Из общего числа обращений: 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>- заявлений — 68;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>- жалоб — 2;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запрос —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0</w:t>
      </w:r>
      <w:r>
        <w:rPr>
          <w:sz w:val="26"/>
          <w:szCs w:val="26"/>
        </w:rPr>
        <w:t>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рапорт —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6</w:t>
      </w:r>
      <w:r>
        <w:rPr>
          <w:sz w:val="26"/>
          <w:szCs w:val="26"/>
        </w:rPr>
        <w:t>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>- сообщение — 1.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Обращения поступали из: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Управления Президента РФ —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5</w:t>
      </w:r>
      <w:r>
        <w:rPr>
          <w:color w:val="000000"/>
          <w:sz w:val="26"/>
          <w:szCs w:val="26"/>
        </w:rPr>
        <w:t xml:space="preserve"> (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7</w:t>
      </w:r>
      <w:r>
        <w:rPr>
          <w:color w:val="000000"/>
          <w:sz w:val="26"/>
          <w:szCs w:val="26"/>
        </w:rPr>
        <w:t>%);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ЦА Росгвардии –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27</w:t>
      </w:r>
      <w:r>
        <w:rPr>
          <w:color w:val="000000"/>
          <w:sz w:val="26"/>
          <w:szCs w:val="26"/>
        </w:rPr>
        <w:t xml:space="preserve"> (35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%</w:t>
      </w:r>
      <w:r>
        <w:rPr>
          <w:color w:val="000000"/>
          <w:sz w:val="26"/>
          <w:szCs w:val="26"/>
        </w:rPr>
        <w:t>);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Прокуратура — 2 (3%);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СВКИ</w:t>
      </w:r>
      <w:r>
        <w:rPr>
          <w:color w:val="000000"/>
          <w:sz w:val="26"/>
          <w:szCs w:val="26"/>
        </w:rPr>
        <w:t xml:space="preserve"> — 1 (1%);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Правительство — 1 (1%);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ГУМЧС — 1 (1%);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От граждан –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30</w:t>
      </w:r>
      <w:r>
        <w:rPr>
          <w:color w:val="000000"/>
          <w:sz w:val="26"/>
          <w:szCs w:val="26"/>
        </w:rPr>
        <w:t xml:space="preserve"> (39%);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От сотрудников — 10 (13%)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Тематический анализ свидетельствует о доминирующей части обращений, затрагивающих вопросы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 xml:space="preserve">лицензионно-разрешительной  работы — 36; 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 xml:space="preserve">кадрового обеспечения (приема, увольнения, восстановления и перевода сотрудников) — 21; 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финансовые вопросы — 4;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получение архивных документов — 3;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медицинского обеспечения — 2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Так же граждане обращались по иным вопросам — 11: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- обеспечение антитеррористической защищенности — 3;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- конфликты на бытовой почве — 1;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firstLine="68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- противодействие незаконному обороту наркотиков — 2;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firstLine="68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- действия (бездействие) военнослужащих (сотрудников), выполняющих обязанности по охране общественного порядка и общественной безопасности — 1;</w:t>
      </w:r>
    </w:p>
    <w:p>
      <w:pPr>
        <w:pStyle w:val="user6"/>
        <w:widowControl/>
        <w:suppressAutoHyphens w:val="true"/>
        <w:overflowPunct w:val="true"/>
        <w:bidi w:val="0"/>
        <w:spacing w:lineRule="auto" w:line="240" w:before="0" w:after="0"/>
        <w:ind w:firstLine="68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- деятельность Федеральной службы войск национальной гвардии Российской Федерации. Принимаемые решения — 1;</w:t>
      </w:r>
    </w:p>
    <w:p>
      <w:pPr>
        <w:pStyle w:val="user6"/>
        <w:widowControl/>
        <w:suppressAutoHyphens w:val="true"/>
        <w:overflowPunct w:val="true"/>
        <w:bidi w:val="0"/>
        <w:spacing w:lineRule="auto" w:line="240" w:before="0" w:after="0"/>
        <w:ind w:firstLine="68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- исполнение должностных полномочий и служебных              обязанностей -1;</w:t>
      </w:r>
    </w:p>
    <w:p>
      <w:pPr>
        <w:pStyle w:val="user6"/>
        <w:widowControl/>
        <w:suppressAutoHyphens w:val="true"/>
        <w:overflowPunct w:val="true"/>
        <w:bidi w:val="0"/>
        <w:spacing w:lineRule="auto" w:line="240" w:before="0" w:after="0"/>
        <w:ind w:firstLine="68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 xml:space="preserve">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- прекращение рассмотрения обращения — 1;</w:t>
      </w:r>
    </w:p>
    <w:p>
      <w:pPr>
        <w:pStyle w:val="user6"/>
        <w:widowControl/>
        <w:suppressAutoHyphens w:val="true"/>
        <w:overflowPunct w:val="true"/>
        <w:bidi w:val="0"/>
        <w:spacing w:lineRule="auto" w:line="240" w:before="0" w:after="0"/>
        <w:ind w:firstLine="68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- благодарность - 1.</w:t>
      </w:r>
    </w:p>
    <w:p>
      <w:pPr>
        <w:pStyle w:val="Normal"/>
        <w:widowControl/>
        <w:tabs>
          <w:tab w:val="clear" w:pos="708"/>
          <w:tab w:val="left" w:pos="675" w:leader="none"/>
        </w:tabs>
        <w:suppressAutoHyphens w:val="true"/>
        <w:overflowPunct w:val="false"/>
        <w:bidi w:val="0"/>
        <w:spacing w:lineRule="auto" w:line="240" w:before="0" w:after="0"/>
        <w:ind w:firstLine="68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По итогам рассмотрения обращений:</w:t>
      </w:r>
    </w:p>
    <w:p>
      <w:pPr>
        <w:pStyle w:val="Normal"/>
        <w:spacing w:lineRule="auto" w:line="240"/>
        <w:ind w:firstLine="708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разъяснено –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28</w:t>
      </w:r>
      <w:r>
        <w:rPr>
          <w:color w:val="000000"/>
          <w:sz w:val="26"/>
          <w:szCs w:val="26"/>
        </w:rPr>
        <w:t xml:space="preserve"> </w:t>
      </w:r>
      <w:r>
        <w:rPr>
          <w:color w:val="000000"/>
          <w:spacing w:val="-1"/>
          <w:sz w:val="26"/>
          <w:szCs w:val="26"/>
        </w:rPr>
        <w:t>(37%)</w:t>
      </w:r>
      <w:r>
        <w:rPr>
          <w:color w:val="000000"/>
          <w:sz w:val="26"/>
          <w:szCs w:val="26"/>
        </w:rPr>
        <w:t xml:space="preserve">, </w:t>
      </w:r>
    </w:p>
    <w:p>
      <w:pPr>
        <w:pStyle w:val="Normal"/>
        <w:spacing w:lineRule="auto" w:line="240"/>
        <w:ind w:firstLine="708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поддержано – 20 </w:t>
      </w:r>
      <w:r>
        <w:rPr>
          <w:color w:val="000000"/>
          <w:spacing w:val="-1"/>
          <w:sz w:val="26"/>
          <w:szCs w:val="26"/>
        </w:rPr>
        <w:t>(26%)</w:t>
      </w:r>
      <w:r>
        <w:rPr>
          <w:color w:val="000000"/>
          <w:sz w:val="26"/>
          <w:szCs w:val="26"/>
        </w:rPr>
        <w:t xml:space="preserve">, </w:t>
      </w:r>
    </w:p>
    <w:p>
      <w:pPr>
        <w:pStyle w:val="Normal"/>
        <w:spacing w:lineRule="auto" w:line="240"/>
        <w:ind w:firstLine="708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не поддержано –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14</w:t>
      </w:r>
      <w:r>
        <w:rPr>
          <w:color w:val="000000"/>
          <w:sz w:val="26"/>
          <w:szCs w:val="26"/>
        </w:rPr>
        <w:t xml:space="preserve"> </w:t>
      </w:r>
      <w:r>
        <w:rPr>
          <w:color w:val="000000"/>
          <w:spacing w:val="-1"/>
          <w:sz w:val="26"/>
          <w:szCs w:val="26"/>
        </w:rPr>
        <w:t xml:space="preserve">(18%), </w:t>
      </w:r>
    </w:p>
    <w:p>
      <w:pPr>
        <w:pStyle w:val="Normal"/>
        <w:spacing w:lineRule="auto" w:line="240"/>
        <w:ind w:firstLine="708" w:left="0" w:right="0"/>
        <w:jc w:val="both"/>
        <w:rPr>
          <w:sz w:val="26"/>
          <w:szCs w:val="26"/>
        </w:rPr>
      </w:pPr>
      <w:r>
        <w:rPr>
          <w:color w:val="000000"/>
          <w:spacing w:val="-1"/>
          <w:sz w:val="26"/>
          <w:szCs w:val="26"/>
        </w:rPr>
        <w:t xml:space="preserve">на рассмотрении — </w:t>
      </w:r>
      <w:r>
        <w:rPr>
          <w:rFonts w:eastAsia="Times New Roman" w:cs="Times New Roman"/>
          <w:color w:val="000000"/>
          <w:spacing w:val="-1"/>
          <w:kern w:val="0"/>
          <w:sz w:val="26"/>
          <w:szCs w:val="26"/>
          <w:lang w:val="ru-RU" w:eastAsia="ru-RU" w:bidi="ar-SA"/>
        </w:rPr>
        <w:t>11</w:t>
      </w:r>
      <w:r>
        <w:rPr>
          <w:color w:val="000000"/>
          <w:spacing w:val="-1"/>
          <w:sz w:val="26"/>
          <w:szCs w:val="26"/>
        </w:rPr>
        <w:t xml:space="preserve"> (14%),</w:t>
      </w:r>
    </w:p>
    <w:p>
      <w:pPr>
        <w:pStyle w:val="Normal"/>
        <w:spacing w:lineRule="auto" w:line="240"/>
        <w:ind w:firstLine="708" w:left="0" w:right="0"/>
        <w:jc w:val="both"/>
        <w:rPr>
          <w:sz w:val="26"/>
          <w:szCs w:val="26"/>
        </w:rPr>
      </w:pPr>
      <w:r>
        <w:rPr>
          <w:color w:val="000000"/>
          <w:spacing w:val="-1"/>
          <w:sz w:val="26"/>
          <w:szCs w:val="26"/>
        </w:rPr>
        <w:t>перенаправлено — 4</w:t>
      </w:r>
      <w:r>
        <w:rPr>
          <w:rFonts w:eastAsia="Times New Roman" w:cs="Times New Roman"/>
          <w:color w:val="000000"/>
          <w:spacing w:val="-1"/>
          <w:kern w:val="0"/>
          <w:sz w:val="26"/>
          <w:szCs w:val="26"/>
          <w:lang w:val="ru-RU" w:eastAsia="ru-RU" w:bidi="ar-SA"/>
        </w:rPr>
        <w:t xml:space="preserve"> </w:t>
      </w:r>
      <w:r>
        <w:rPr>
          <w:color w:val="000000"/>
          <w:spacing w:val="-1"/>
          <w:sz w:val="26"/>
          <w:szCs w:val="26"/>
        </w:rPr>
        <w:t>(5%).</w:t>
      </w:r>
    </w:p>
    <w:p>
      <w:pPr>
        <w:pStyle w:val="Normal"/>
        <w:spacing w:lineRule="auto" w:line="240"/>
        <w:ind w:firstLine="708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Всем заявителям ответы направлены в срок</w:t>
      </w:r>
      <w:r>
        <w:rPr>
          <w:color w:val="000000"/>
          <w:sz w:val="26"/>
          <w:szCs w:val="26"/>
        </w:rPr>
        <w:t>.</w:t>
      </w:r>
      <w:r>
        <w:rPr>
          <w:color w:val="000000"/>
          <w:spacing w:val="-1"/>
          <w:sz w:val="26"/>
          <w:szCs w:val="26"/>
        </w:rPr>
        <w:t xml:space="preserve"> </w:t>
      </w:r>
      <w:r>
        <w:rPr>
          <w:rFonts w:eastAsia="Times New Roman" w:cs="Times New Roman"/>
          <w:color w:val="000000"/>
          <w:spacing w:val="-1"/>
          <w:kern w:val="0"/>
          <w:sz w:val="26"/>
          <w:szCs w:val="26"/>
          <w:lang w:val="ru-RU" w:eastAsia="ru-RU" w:bidi="ar-SA"/>
        </w:rPr>
        <w:t>11</w:t>
      </w:r>
      <w:r>
        <w:rPr>
          <w:color w:val="000000"/>
          <w:spacing w:val="-1"/>
          <w:sz w:val="26"/>
          <w:szCs w:val="26"/>
        </w:rPr>
        <w:t xml:space="preserve"> обращений находятся в стадии рассмотрения, срок которых истекает в </w:t>
      </w:r>
      <w:r>
        <w:rPr>
          <w:rFonts w:eastAsia="Times New Roman" w:cs="Times New Roman"/>
          <w:color w:val="000000"/>
          <w:spacing w:val="-1"/>
          <w:kern w:val="0"/>
          <w:sz w:val="26"/>
          <w:szCs w:val="26"/>
          <w:lang w:val="ru-RU" w:eastAsia="ru-RU" w:bidi="ar-SA"/>
        </w:rPr>
        <w:t>октябре</w:t>
      </w:r>
      <w:r>
        <w:rPr>
          <w:color w:val="000000"/>
          <w:spacing w:val="-1"/>
          <w:sz w:val="26"/>
          <w:szCs w:val="26"/>
        </w:rPr>
        <w:t xml:space="preserve"> 2025 года.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За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III</w:t>
      </w:r>
      <w:r>
        <w:rPr>
          <w:color w:val="000000"/>
          <w:sz w:val="26"/>
          <w:szCs w:val="26"/>
        </w:rPr>
        <w:t xml:space="preserve">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квартал</w:t>
      </w:r>
      <w:r>
        <w:rPr>
          <w:color w:val="000000"/>
          <w:sz w:val="26"/>
          <w:szCs w:val="26"/>
        </w:rPr>
        <w:t xml:space="preserve"> 2025 г. на прием к руководящему составу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граждане не обращались</w:t>
      </w:r>
      <w:r>
        <w:rPr>
          <w:color w:val="000000"/>
          <w:sz w:val="26"/>
          <w:szCs w:val="26"/>
        </w:rPr>
        <w:t xml:space="preserve"> (2024г. –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1</w:t>
      </w:r>
      <w:r>
        <w:rPr>
          <w:color w:val="000000"/>
          <w:sz w:val="26"/>
          <w:szCs w:val="26"/>
        </w:rPr>
        <w:t xml:space="preserve">). </w:t>
      </w:r>
    </w:p>
    <w:p>
      <w:pPr>
        <w:pStyle w:val="Normal"/>
        <w:spacing w:lineRule="auto" w:line="240"/>
        <w:jc w:val="both"/>
        <w:rPr>
          <w:sz w:val="26"/>
          <w:szCs w:val="26"/>
        </w:rPr>
      </w:pPr>
      <w:r>
        <w:rPr>
          <w:color w:val="000000"/>
          <w:spacing w:val="-1"/>
          <w:sz w:val="26"/>
          <w:szCs w:val="26"/>
        </w:rPr>
        <w:tab/>
        <w:t>Нарушений прав и охраняемых законом интересов граждан не допущено.</w:t>
      </w:r>
    </w:p>
    <w:p>
      <w:pPr>
        <w:pStyle w:val="Normal"/>
        <w:spacing w:lineRule="auto" w:line="240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spacing w:lineRule="auto" w:line="240"/>
        <w:rPr>
          <w:sz w:val="26"/>
          <w:szCs w:val="26"/>
        </w:rPr>
      </w:pPr>
      <w:r>
        <w:rPr>
          <w:sz w:val="26"/>
          <w:szCs w:val="26"/>
        </w:rPr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701" w:right="1134" w:gutter="0" w:header="708" w:top="1134" w:footer="0" w:bottom="1134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imes New Roman">
    <w:charset w:val="01"/>
    <w:family w:val="roman"/>
    <w:pitch w:val="default"/>
  </w:font>
  <w:font w:name="Segoe UI">
    <w:charset w:val="01"/>
    <w:family w:val="swiss"/>
    <w:pitch w:val="default"/>
  </w:font>
  <w:font w:name="PT Astra Serif">
    <w:charset w:val="01"/>
    <w:family w:val="roman"/>
    <w:pitch w:val="default"/>
  </w:font>
  <w:font w:name="PT Astra Serif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center"/>
      <w:rPr/>
    </w:pPr>
    <w:r>
      <w:rPr/>
    </w:r>
  </w:p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Cs w:val="22"/>
        <w:lang w:val="ru-RU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5">
    <w:name w:val="Нижний колонтитул Знак"/>
    <w:basedOn w:val="DefaultParagraphFont"/>
    <w:qFormat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6">
    <w:name w:val="Текст выноски Знак"/>
    <w:basedOn w:val="DefaultParagraphFont"/>
    <w:qFormat/>
    <w:rPr>
      <w:rFonts w:ascii="Segoe UI" w:hAnsi="Segoe UI" w:eastAsia="Times New Roman" w:cs="Segoe UI"/>
      <w:sz w:val="18"/>
      <w:szCs w:val="18"/>
      <w:lang w:eastAsia="ru-RU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user">
    <w:name w:val="Привязка сноски (user)"/>
    <w:qFormat/>
    <w:rPr>
      <w:vertAlign w:val="superscript"/>
    </w:rPr>
  </w:style>
  <w:style w:type="character" w:styleId="FootnoteCharacters">
    <w:name w:val="Footnote Characters"/>
    <w:basedOn w:val="DefaultParagraphFont"/>
    <w:qFormat/>
    <w:rPr>
      <w:vertAlign w:val="superscript"/>
    </w:rPr>
  </w:style>
  <w:style w:type="character" w:styleId="user1">
    <w:name w:val="Символ сноски (user)"/>
    <w:qFormat/>
    <w:rPr/>
  </w:style>
  <w:style w:type="character" w:styleId="user2">
    <w:name w:val="Привязка концевой сноски (user)"/>
    <w:qFormat/>
    <w:rPr>
      <w:vertAlign w:val="superscript"/>
    </w:rPr>
  </w:style>
  <w:style w:type="character" w:styleId="user3">
    <w:name w:val="Символ концевой сноски (user)"/>
    <w:qFormat/>
    <w:rPr/>
  </w:style>
  <w:style w:type="character" w:styleId="Style18">
    <w:name w:val="Символ сноски"/>
    <w:qFormat/>
    <w:rPr/>
  </w:style>
  <w:style w:type="character" w:styleId="FootnoteReference">
    <w:name w:val="footnote reference"/>
    <w:rPr>
      <w:vertAlign w:val="superscript"/>
    </w:rPr>
  </w:style>
  <w:style w:type="paragraph" w:styleId="Style19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FreeSans"/>
    </w:rPr>
  </w:style>
  <w:style w:type="paragraph" w:styleId="user4">
    <w:name w:val="Заголовок (user)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user5">
    <w:name w:val="Указатель (user)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21">
    <w:name w:val="Верхний и нижний колонтитулы"/>
    <w:basedOn w:val="Normal"/>
    <w:qFormat/>
    <w:pPr/>
    <w:rPr/>
  </w:style>
  <w:style w:type="paragraph" w:styleId="Style22">
    <w:name w:val="Колонтитулы"/>
    <w:basedOn w:val="Normal"/>
    <w:qFormat/>
    <w:pPr/>
    <w:rPr/>
  </w:style>
  <w:style w:type="paragraph" w:styleId="Header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Footer">
    <w:name w:val="foot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BalloonText">
    <w:name w:val="Balloon Text"/>
    <w:basedOn w:val="Normal"/>
    <w:qFormat/>
    <w:pPr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pPr/>
    <w:rPr/>
  </w:style>
  <w:style w:type="paragraph" w:styleId="user6">
    <w:name w:val="Содержимое таблицы (user)"/>
    <w:basedOn w:val="Normal"/>
    <w:qFormat/>
    <w:pPr>
      <w:suppressLineNumbers/>
    </w:pPr>
    <w:rPr/>
  </w:style>
  <w:style w:type="paragraph" w:styleId="user7">
    <w:name w:val="Заголовок таблицы (user)"/>
    <w:basedOn w:val="user6"/>
    <w:qFormat/>
    <w:pPr>
      <w:suppressLineNumbers/>
      <w:jc w:val="center"/>
    </w:pPr>
    <w:rPr>
      <w:b/>
      <w:bCs/>
    </w:rPr>
  </w:style>
  <w:style w:type="numbering" w:styleId="Style23">
    <w:name w:val="Без списка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2959</TotalTime>
  <Application>LibreOffice/25.2.6.2$Linux_X86_64 LibreOffice_project/520$Build-2</Application>
  <AppVersion>15.0000</AppVersion>
  <DocSecurity>0</DocSecurity>
  <Pages>2</Pages>
  <Words>287</Words>
  <Characters>1866</Characters>
  <CharactersWithSpaces>2169</CharactersWithSpaces>
  <Paragraphs>41</Paragraphs>
  <Company>SPecialiST RePack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2016-02-08T10:16:00Z</dcterms:created>
  <dc:creator>МВД</dc:creator>
  <dc:description/>
  <dc:language>ru-RU</dc:language>
  <cp:lastModifiedBy/>
  <cp:lastPrinted>2025-10-08T16:19:01Z</cp:lastPrinted>
  <dcterms:modified xsi:type="dcterms:W3CDTF">2026-06-17T15:08:43Z</dcterms:modified>
  <cp:revision>117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