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sz w:val="26"/>
          <w:szCs w:val="26"/>
        </w:rPr>
      </w:pPr>
      <w:bookmarkStart w:id="0" w:name="_GoBack"/>
      <w:bookmarkEnd w:id="0"/>
      <w:r>
        <w:rPr>
          <w:rFonts w:cs="Times New Roman"/>
          <w:b/>
          <w:sz w:val="26"/>
          <w:szCs w:val="26"/>
        </w:rPr>
        <w:t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 xml:space="preserve">о 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в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т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р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м</w:t>
      </w:r>
      <w:r>
        <w:rPr>
          <w:rFonts w:cs="Times New Roman"/>
          <w:b/>
          <w:sz w:val="26"/>
          <w:szCs w:val="26"/>
        </w:rPr>
        <w:t xml:space="preserve">  квартале 202</w:t>
      </w:r>
      <w:r>
        <w:rPr>
          <w:rFonts w:cs="Times New Roman"/>
          <w:b/>
          <w:sz w:val="26"/>
          <w:szCs w:val="26"/>
        </w:rPr>
        <w:t>4</w:t>
      </w:r>
      <w:r>
        <w:rPr>
          <w:rFonts w:cs="Times New Roman"/>
          <w:b/>
          <w:sz w:val="26"/>
          <w:szCs w:val="26"/>
        </w:rPr>
        <w:t xml:space="preserve"> года</w:t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/>
          <w:sz w:val="26"/>
          <w:szCs w:val="26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Всего за </w:t>
      </w:r>
      <w:r>
        <w:rPr>
          <w:rFonts w:eastAsia="Times New Roman" w:cs="Times New Roman"/>
          <w:color w:val="auto"/>
          <w:kern w:val="0"/>
          <w:sz w:val="26"/>
          <w:szCs w:val="26"/>
          <w:lang w:val="en-US" w:eastAsia="ru-RU" w:bidi="ar-SA"/>
        </w:rPr>
        <w:t>II</w:t>
      </w:r>
      <w:r>
        <w:rPr>
          <w:sz w:val="26"/>
          <w:szCs w:val="26"/>
        </w:rPr>
        <w:t xml:space="preserve"> квартал 2024 г. в Управлении Росгвардии по Саратовской области зарегистрировано </w:t>
      </w:r>
      <w:r>
        <w:rPr>
          <w:rFonts w:eastAsia="Times New Roman" w:cs="Times New Roman"/>
          <w:b/>
          <w:bCs/>
          <w:color w:val="auto"/>
          <w:kern w:val="0"/>
          <w:sz w:val="26"/>
          <w:szCs w:val="26"/>
          <w:lang w:val="ru-RU" w:eastAsia="ru-RU" w:bidi="ar-SA"/>
        </w:rPr>
        <w:t>52</w:t>
      </w:r>
      <w:r>
        <w:rPr>
          <w:sz w:val="26"/>
          <w:szCs w:val="26"/>
        </w:rPr>
        <w:t xml:space="preserve"> обращений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 xml:space="preserve"> (в 2023 г. - </w:t>
      </w:r>
      <w:r>
        <w:rPr>
          <w:rFonts w:eastAsia="Times New Roman" w:cs="Times New Roman"/>
          <w:b/>
          <w:bCs/>
          <w:color w:val="auto"/>
          <w:kern w:val="0"/>
          <w:sz w:val="26"/>
          <w:szCs w:val="26"/>
          <w:lang w:val="ru-RU" w:eastAsia="ru-RU" w:bidi="ar-SA"/>
        </w:rPr>
        <w:t>39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)</w:t>
      </w:r>
      <w:r>
        <w:rPr>
          <w:color w:val="000000"/>
          <w:sz w:val="26"/>
          <w:szCs w:val="26"/>
        </w:rPr>
        <w:t xml:space="preserve">.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Из общего числа обращений: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заявлений — 44;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жалоб — 2;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запрос — 1;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рапорт — 4;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сообщение — 1.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Обращения поступали из: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Управления Президента РФ —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2</w:t>
      </w:r>
      <w:r>
        <w:rPr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4</w:t>
      </w:r>
      <w:r>
        <w:rPr>
          <w:color w:val="000000"/>
          <w:sz w:val="26"/>
          <w:szCs w:val="26"/>
        </w:rPr>
        <w:t>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Ц</w:t>
      </w:r>
      <w:r>
        <w:rPr>
          <w:color w:val="000000"/>
          <w:sz w:val="26"/>
          <w:szCs w:val="26"/>
        </w:rPr>
        <w:t xml:space="preserve">А Росгвардии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9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17%</w:t>
      </w:r>
      <w:r>
        <w:rPr>
          <w:color w:val="000000"/>
          <w:sz w:val="26"/>
          <w:szCs w:val="26"/>
        </w:rPr>
        <w:t>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Прокуратура — 3 (6%);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Организаций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3</w:t>
      </w:r>
      <w:r>
        <w:rPr>
          <w:color w:val="000000"/>
          <w:sz w:val="26"/>
          <w:szCs w:val="26"/>
        </w:rPr>
        <w:t xml:space="preserve"> (6%);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26</w:t>
      </w:r>
      <w:r>
        <w:rPr>
          <w:color w:val="000000"/>
          <w:sz w:val="26"/>
          <w:szCs w:val="26"/>
        </w:rPr>
        <w:t xml:space="preserve"> (50%);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сотрудников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8</w:t>
      </w:r>
      <w:r>
        <w:rPr>
          <w:color w:val="000000"/>
          <w:sz w:val="26"/>
          <w:szCs w:val="26"/>
        </w:rPr>
        <w:t xml:space="preserve"> (15%)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От военнослужащих — 1 (2%)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Тематический анализ свидетельствует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лицензионно-разрешительной  работы — 21;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кадрового обеспечения (приема, увольнения, восстановления и перевода сотрудников, оформления удостоверений ветерана боевых действий и ветерана военной службы) — 11;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финансового обеспечения — 5;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жилищного обеспечения — 1;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получение архивных документов — 2.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Так же граждане обращались по иным вопросам — 12: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 деятельность в сфере строительства, капитального (текущего) ремонта зданий и сооружений, состоящих на балансе войск — 1;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обслуживание служебного жилья — 1;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конфликты на бытовой почве — 2;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имущественные отношения войск национальной гвардии Российской Федерации — 1;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охрана общественного порядка — 2: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выплата компенсаций за установку надгробия — 1;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ознакомление с документами и материалами, касающимися рассмотрения обращения — 1;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деятельность Федеральной службы войск национальной гвардии Российской Федерации. Принимаемые решения  - 1;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исполнение должностных полномочий и служебных обязанностей — 1;</w:t>
      </w:r>
    </w:p>
    <w:p>
      <w:pPr>
        <w:pStyle w:val="Normal"/>
        <w:widowControl/>
        <w:tabs>
          <w:tab w:val="clear" w:pos="708"/>
          <w:tab w:val="left" w:pos="675" w:leader="none"/>
        </w:tabs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- обеспечение антитеррористической защищенности объектов (территорий) различной ведомственной принадлежности и сфер деятельности — 1.</w:t>
      </w:r>
    </w:p>
    <w:p>
      <w:pPr>
        <w:pStyle w:val="Normal"/>
        <w:widowControl/>
        <w:tabs>
          <w:tab w:val="clear" w:pos="708"/>
          <w:tab w:val="left" w:pos="675" w:leader="none"/>
        </w:tabs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По итогам рассмотрения обращений: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разъяснено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13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(25%)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поддержано – 17 </w:t>
      </w:r>
      <w:r>
        <w:rPr>
          <w:color w:val="000000"/>
          <w:spacing w:val="-1"/>
          <w:sz w:val="26"/>
          <w:szCs w:val="26"/>
        </w:rPr>
        <w:t>(32%)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не 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12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 xml:space="preserve">(23%),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на рассмотрении — 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6</w:t>
      </w:r>
      <w:r>
        <w:rPr>
          <w:color w:val="000000"/>
          <w:spacing w:val="-1"/>
          <w:sz w:val="26"/>
          <w:szCs w:val="26"/>
        </w:rPr>
        <w:t xml:space="preserve"> (12%),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перенаправлено — 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 xml:space="preserve">4 </w:t>
      </w:r>
      <w:r>
        <w:rPr>
          <w:color w:val="000000"/>
          <w:spacing w:val="-1"/>
          <w:sz w:val="26"/>
          <w:szCs w:val="26"/>
        </w:rPr>
        <w:t>(8%).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Всем заявителям ответы направлены в срок</w:t>
      </w:r>
      <w:r>
        <w:rPr>
          <w:sz w:val="26"/>
          <w:szCs w:val="26"/>
        </w:rPr>
        <w:t>.</w:t>
      </w:r>
      <w:r>
        <w:rPr>
          <w:spacing w:val="-1"/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spacing w:val="-1"/>
          <w:kern w:val="0"/>
          <w:sz w:val="26"/>
          <w:szCs w:val="26"/>
          <w:lang w:val="ru-RU" w:eastAsia="ru-RU" w:bidi="ar-SA"/>
        </w:rPr>
        <w:t>6</w:t>
      </w:r>
      <w:r>
        <w:rPr>
          <w:spacing w:val="-1"/>
          <w:sz w:val="26"/>
          <w:szCs w:val="26"/>
        </w:rPr>
        <w:t xml:space="preserve"> обращений находятся в стадии рассмотрения, срок которых истекает в </w:t>
      </w:r>
      <w:r>
        <w:rPr>
          <w:rFonts w:eastAsia="Times New Roman" w:cs="Times New Roman"/>
          <w:color w:val="auto"/>
          <w:spacing w:val="-1"/>
          <w:kern w:val="0"/>
          <w:sz w:val="26"/>
          <w:szCs w:val="26"/>
          <w:lang w:val="ru-RU" w:eastAsia="ru-RU" w:bidi="ar-SA"/>
        </w:rPr>
        <w:t>июле</w:t>
      </w:r>
      <w:r>
        <w:rPr>
          <w:spacing w:val="-1"/>
          <w:sz w:val="26"/>
          <w:szCs w:val="26"/>
        </w:rPr>
        <w:t xml:space="preserve"> 2024 года.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II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квартал</w:t>
      </w:r>
      <w:r>
        <w:rPr>
          <w:sz w:val="26"/>
          <w:szCs w:val="26"/>
        </w:rPr>
        <w:t xml:space="preserve"> 2024 г. на прием к руководящему составу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 xml:space="preserve">обращались </w:t>
      </w:r>
      <w:r>
        <w:rPr>
          <w:sz w:val="26"/>
          <w:szCs w:val="26"/>
        </w:rPr>
        <w:t xml:space="preserve">6 граждан (2023г.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1</w:t>
      </w:r>
      <w:r>
        <w:rPr>
          <w:sz w:val="26"/>
          <w:szCs w:val="26"/>
        </w:rPr>
        <w:t>). В ходе проведения личного приема пятерым гражданам даны разъяснения, у одного гражданина принято письменное обращение.</w:t>
      </w:r>
    </w:p>
    <w:p>
      <w:pPr>
        <w:pStyle w:val="Normal"/>
        <w:spacing w:lineRule="auto" w:line="240"/>
        <w:jc w:val="both"/>
        <w:rPr>
          <w:sz w:val="26"/>
          <w:szCs w:val="26"/>
        </w:rPr>
      </w:pPr>
      <w:r>
        <w:rPr>
          <w:spacing w:val="-1"/>
          <w:sz w:val="26"/>
          <w:szCs w:val="26"/>
        </w:rPr>
        <w:tab/>
      </w:r>
      <w:r>
        <w:rPr>
          <w:color w:val="000000"/>
          <w:spacing w:val="-1"/>
          <w:sz w:val="26"/>
          <w:szCs w:val="26"/>
        </w:rPr>
        <w:t>Нарушений прав и охраняемых законом интересов граждан не допущено.</w:t>
      </w:r>
    </w:p>
    <w:p>
      <w:pPr>
        <w:pStyle w:val="Normal"/>
        <w:spacing w:lineRule="auto" w:line="240"/>
        <w:ind w:firstLine="708" w:left="0" w:right="0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</w:r>
    </w:p>
    <w:p>
      <w:pPr>
        <w:pStyle w:val="Normal"/>
        <w:spacing w:lineRule="auto" w:line="240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roman"/>
    <w:pitch w:val="default"/>
  </w:font>
  <w:font w:name="Segoe UI">
    <w:charset w:val="01"/>
    <w:family w:val="swiss"/>
    <w:pitch w:val="default"/>
  </w:font>
  <w:font w:name="PT Astra Serif">
    <w:charset w:val="01"/>
    <w:family w:val="roman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user1">
    <w:name w:val="Символ сноски (user)"/>
    <w:qFormat/>
    <w:rPr/>
  </w:style>
  <w:style w:type="character" w:styleId="user2">
    <w:name w:val="Привязка концевой сноски (user)"/>
    <w:qFormat/>
    <w:rPr>
      <w:vertAlign w:val="superscript"/>
    </w:rPr>
  </w:style>
  <w:style w:type="character" w:styleId="user3">
    <w:name w:val="Символ концевой сноски (user)"/>
    <w:qFormat/>
    <w:rPr/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paragraph" w:styleId="user6">
    <w:name w:val="Содержимое таблицы (user)"/>
    <w:basedOn w:val="Normal"/>
    <w:qFormat/>
    <w:pPr>
      <w:suppressLineNumbers/>
    </w:pPr>
    <w:rPr/>
  </w:style>
  <w:style w:type="paragraph" w:styleId="user7">
    <w:name w:val="Заголовок таблицы (user)"/>
    <w:basedOn w:val="user6"/>
    <w:qFormat/>
    <w:pPr>
      <w:suppressLineNumbers/>
      <w:jc w:val="center"/>
    </w:pPr>
    <w:rPr>
      <w:b/>
      <w:bCs/>
    </w:rPr>
  </w:style>
  <w:style w:type="numbering" w:styleId="Style23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2691</TotalTime>
  <Application>LibreOffice/25.2.6.2$Linux_X86_64 LibreOffice_project/520$Build-2</Application>
  <AppVersion>15.0000</AppVersion>
  <DocSecurity>0</DocSecurity>
  <Pages>2</Pages>
  <Words>340</Words>
  <Characters>2223</Characters>
  <CharactersWithSpaces>2569</CharactersWithSpaces>
  <Paragraphs>42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2024-06-28T11:23:43Z</cp:lastPrinted>
  <dcterms:modified xsi:type="dcterms:W3CDTF">2026-06-17T15:02:32Z</dcterms:modified>
  <cp:revision>110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