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bookmarkStart w:id="0" w:name="_GoBack"/>
      <w:bookmarkEnd w:id="0"/>
      <w:r>
        <w:rPr>
          <w:rFonts w:cs="Times New Roman"/>
          <w:b/>
          <w:sz w:val="28"/>
          <w:szCs w:val="28"/>
        </w:rPr>
        <w:t>О состоянии работы с предложениями, заявлениями и жалобами граждан и организаций, организации личного приема в Управлении Росгвардии по Саратовской области в</w:t>
      </w:r>
      <w:r>
        <w:rPr>
          <w:rFonts w:cs="Times New Roman"/>
          <w:b/>
          <w:sz w:val="28"/>
          <w:szCs w:val="28"/>
        </w:rPr>
        <w:t>о</w:t>
      </w:r>
      <w:r>
        <w:rPr>
          <w:rFonts w:cs="Times New Roman"/>
          <w:b/>
          <w:sz w:val="28"/>
          <w:szCs w:val="28"/>
        </w:rPr>
        <w:t xml:space="preserve"> </w:t>
      </w:r>
      <w:r>
        <w:rPr>
          <w:rFonts w:eastAsia="Calibri" w:cs="Times New Roman" w:eastAsiaTheme="minorHAnsi"/>
          <w:b/>
          <w:color w:val="auto"/>
          <w:kern w:val="0"/>
          <w:sz w:val="28"/>
          <w:szCs w:val="28"/>
          <w:lang w:val="ru-RU" w:eastAsia="en-US" w:bidi="ar-SA"/>
        </w:rPr>
        <w:t>в</w:t>
      </w:r>
      <w:r>
        <w:rPr>
          <w:rFonts w:eastAsia="Calibri" w:cs="Times New Roman" w:eastAsiaTheme="minorHAnsi"/>
          <w:b/>
          <w:color w:val="auto"/>
          <w:kern w:val="0"/>
          <w:sz w:val="28"/>
          <w:szCs w:val="28"/>
          <w:lang w:val="ru-RU" w:eastAsia="en-US" w:bidi="ar-SA"/>
        </w:rPr>
        <w:t>т</w:t>
      </w:r>
      <w:r>
        <w:rPr>
          <w:rFonts w:eastAsia="Calibri" w:cs="Times New Roman" w:eastAsiaTheme="minorHAnsi"/>
          <w:b/>
          <w:color w:val="auto"/>
          <w:kern w:val="0"/>
          <w:sz w:val="28"/>
          <w:szCs w:val="28"/>
          <w:lang w:val="ru-RU" w:eastAsia="en-US" w:bidi="ar-SA"/>
        </w:rPr>
        <w:t>о</w:t>
      </w:r>
      <w:r>
        <w:rPr>
          <w:rFonts w:eastAsia="Calibri" w:cs="Times New Roman" w:eastAsiaTheme="minorHAnsi"/>
          <w:b/>
          <w:color w:val="auto"/>
          <w:kern w:val="0"/>
          <w:sz w:val="28"/>
          <w:szCs w:val="28"/>
          <w:lang w:val="ru-RU" w:eastAsia="en-US" w:bidi="ar-SA"/>
        </w:rPr>
        <w:t>р</w:t>
      </w:r>
      <w:r>
        <w:rPr>
          <w:rFonts w:eastAsia="Calibri" w:cs="Times New Roman" w:eastAsiaTheme="minorHAnsi"/>
          <w:b/>
          <w:color w:val="auto"/>
          <w:kern w:val="0"/>
          <w:sz w:val="28"/>
          <w:szCs w:val="28"/>
          <w:lang w:val="ru-RU" w:eastAsia="en-US" w:bidi="ar-SA"/>
        </w:rPr>
        <w:t>о</w:t>
      </w:r>
      <w:r>
        <w:rPr>
          <w:rFonts w:eastAsia="Calibri" w:cs="Times New Roman" w:eastAsiaTheme="minorHAnsi"/>
          <w:b/>
          <w:color w:val="auto"/>
          <w:kern w:val="0"/>
          <w:sz w:val="28"/>
          <w:szCs w:val="28"/>
          <w:lang w:val="ru-RU" w:eastAsia="en-US" w:bidi="ar-SA"/>
        </w:rPr>
        <w:t xml:space="preserve">м </w:t>
      </w:r>
      <w:r>
        <w:rPr>
          <w:rFonts w:cs="Times New Roman"/>
          <w:b/>
          <w:sz w:val="28"/>
          <w:szCs w:val="28"/>
        </w:rPr>
        <w:t>квартале 202</w:t>
      </w:r>
      <w:r>
        <w:rPr>
          <w:rFonts w:cs="Times New Roman"/>
          <w:b/>
          <w:sz w:val="28"/>
          <w:szCs w:val="28"/>
        </w:rPr>
        <w:t>3</w:t>
      </w:r>
      <w:r>
        <w:rPr>
          <w:rFonts w:cs="Times New Roman"/>
          <w:b/>
          <w:sz w:val="28"/>
          <w:szCs w:val="28"/>
        </w:rPr>
        <w:t xml:space="preserve"> года</w:t>
      </w:r>
    </w:p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6"/>
          <w:szCs w:val="26"/>
        </w:rPr>
        <w:t>Работа с обращениями, признанная  обеспечить соблюдение, охрану, защиту, а при необходимости и восстановление нарушенных конституционных прав и законных интересов граждан, была и остается важнейшим направлением деятельности Росгвардии.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Всего за </w:t>
      </w:r>
      <w:r>
        <w:rPr>
          <w:rFonts w:eastAsia="Times New Roman" w:cs="Times New Roman"/>
          <w:color w:val="auto"/>
          <w:kern w:val="0"/>
          <w:sz w:val="26"/>
          <w:szCs w:val="26"/>
          <w:lang w:val="en-US" w:eastAsia="ru-RU" w:bidi="ar-SA"/>
        </w:rPr>
        <w:t>II</w:t>
      </w:r>
      <w:r>
        <w:rPr>
          <w:sz w:val="26"/>
          <w:szCs w:val="26"/>
        </w:rPr>
        <w:t xml:space="preserve"> квартал 2023 г. в Управлении Росгвардии по Саратовской области зарегистрировано 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39</w:t>
      </w:r>
      <w:r>
        <w:rPr>
          <w:b w:val="false"/>
          <w:bCs w:val="false"/>
          <w:sz w:val="26"/>
          <w:szCs w:val="26"/>
        </w:rPr>
        <w:t xml:space="preserve"> обращений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 (в 2022 г. - 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55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)</w:t>
      </w:r>
      <w:r>
        <w:rPr>
          <w:b w:val="false"/>
          <w:bCs w:val="false"/>
          <w:color w:val="000000"/>
          <w:sz w:val="26"/>
          <w:szCs w:val="26"/>
        </w:rPr>
        <w:t xml:space="preserve">. 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Из общего числа обращений: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31</w:t>
      </w:r>
      <w:r>
        <w:rPr>
          <w:sz w:val="26"/>
          <w:szCs w:val="26"/>
        </w:rPr>
        <w:t xml:space="preserve"> заявление, 3 жалобы,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2</w:t>
      </w:r>
      <w:r>
        <w:rPr>
          <w:sz w:val="26"/>
          <w:szCs w:val="26"/>
        </w:rPr>
        <w:t xml:space="preserve">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запроса информации, 2 рапорта</w:t>
      </w:r>
      <w:r>
        <w:rPr>
          <w:sz w:val="26"/>
          <w:szCs w:val="26"/>
        </w:rPr>
        <w:t xml:space="preserve">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и 1 благодарность.</w:t>
      </w:r>
      <w:r>
        <w:rPr>
          <w:sz w:val="26"/>
          <w:szCs w:val="26"/>
        </w:rPr>
        <w:t xml:space="preserve"> 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Обращения поступали из: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Управление Президента РФ — 1 (2,5%);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Ц</w:t>
      </w:r>
      <w:r>
        <w:rPr>
          <w:color w:val="000000"/>
          <w:sz w:val="26"/>
          <w:szCs w:val="26"/>
        </w:rPr>
        <w:t xml:space="preserve">А Росгвардии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6</w:t>
      </w:r>
      <w:r>
        <w:rPr>
          <w:color w:val="000000"/>
          <w:sz w:val="26"/>
          <w:szCs w:val="26"/>
        </w:rPr>
        <w:t xml:space="preserve"> (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15</w:t>
      </w:r>
      <w:r>
        <w:rPr>
          <w:color w:val="000000"/>
          <w:sz w:val="26"/>
          <w:szCs w:val="26"/>
        </w:rPr>
        <w:t>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ПривО — 2 (5%);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Прокуратуры — 2 (5%);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Организаций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13</w:t>
      </w:r>
      <w:r>
        <w:rPr>
          <w:color w:val="000000"/>
          <w:sz w:val="26"/>
          <w:szCs w:val="26"/>
        </w:rPr>
        <w:t xml:space="preserve"> (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34</w:t>
      </w:r>
      <w:r>
        <w:rPr>
          <w:color w:val="000000"/>
          <w:sz w:val="26"/>
          <w:szCs w:val="26"/>
        </w:rPr>
        <w:t>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От граждан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14</w:t>
      </w:r>
      <w:r>
        <w:rPr>
          <w:color w:val="000000"/>
          <w:sz w:val="26"/>
          <w:szCs w:val="26"/>
        </w:rPr>
        <w:t xml:space="preserve"> (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36</w:t>
      </w:r>
      <w:r>
        <w:rPr>
          <w:color w:val="000000"/>
          <w:sz w:val="26"/>
          <w:szCs w:val="26"/>
        </w:rPr>
        <w:t>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От сотрудников —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</w:t>
      </w:r>
      <w:r>
        <w:rPr>
          <w:color w:val="000000"/>
          <w:sz w:val="26"/>
          <w:szCs w:val="26"/>
        </w:rPr>
        <w:t xml:space="preserve"> (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2,5</w:t>
      </w:r>
      <w:r>
        <w:rPr>
          <w:color w:val="000000"/>
          <w:sz w:val="26"/>
          <w:szCs w:val="26"/>
        </w:rPr>
        <w:t>%).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Тематический анализ свид</w:t>
      </w:r>
      <w:r>
        <w:rPr>
          <w:sz w:val="26"/>
          <w:szCs w:val="26"/>
        </w:rPr>
        <w:t xml:space="preserve">етельствует о доминирующей части обращений, затрагивающих вопросы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лицензионно-разрешительной  работы — 15; кадрового обеспечения (приема, увольнения, восстановления и перевода сотрудников, оформления удостоверений ветерана боевых действий и ветерана военной службы) — 5; неправомерного действия должностного лица — 5; финансового обеспечения — 4; юридического обеспечения — 1; функционирования подразделений вневедомственной охраны — 1;  благодарность — 1. Так же граждане обращались по иным вопросам — 5: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 о бытовом конфликте — 1;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 о разъяснении мер социальных гарантий военнослужащих — 1;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hanging="0" w:left="68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 о предоставлении информации о полученных денежных               средствах — 1;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hanging="0" w:left="68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 о неуплат денежных средств сотрудников кредитной                      организации — 1;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hanging="0" w:left="68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об оказании помощи бывшему сотруднику — 1.</w:t>
      </w:r>
    </w:p>
    <w:p>
      <w:pPr>
        <w:pStyle w:val="Normal"/>
        <w:ind w:hanging="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По итогам рассмотрения обращений: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разъяснено –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10</w:t>
      </w:r>
      <w:r>
        <w:rPr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(</w:t>
      </w:r>
      <w:r>
        <w:rPr>
          <w:rFonts w:eastAsia="Times New Roman" w:cs="Times New Roman"/>
          <w:color w:val="000000"/>
          <w:spacing w:val="-1"/>
          <w:kern w:val="0"/>
          <w:sz w:val="26"/>
          <w:szCs w:val="26"/>
          <w:lang w:val="ru-RU" w:eastAsia="ru-RU" w:bidi="ar-SA"/>
        </w:rPr>
        <w:t>26</w:t>
      </w:r>
      <w:r>
        <w:rPr>
          <w:color w:val="000000"/>
          <w:spacing w:val="-1"/>
          <w:sz w:val="26"/>
          <w:szCs w:val="26"/>
        </w:rPr>
        <w:t>%)</w:t>
      </w:r>
      <w:r>
        <w:rPr>
          <w:color w:val="000000"/>
          <w:sz w:val="26"/>
          <w:szCs w:val="26"/>
        </w:rPr>
        <w:t xml:space="preserve">, 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поддержано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11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(</w:t>
      </w:r>
      <w:r>
        <w:rPr>
          <w:rFonts w:eastAsia="Times New Roman" w:cs="Times New Roman"/>
          <w:color w:val="000000"/>
          <w:spacing w:val="-1"/>
          <w:kern w:val="0"/>
          <w:sz w:val="26"/>
          <w:szCs w:val="26"/>
          <w:lang w:val="ru-RU" w:eastAsia="ru-RU" w:bidi="ar-SA"/>
        </w:rPr>
        <w:t>28</w:t>
      </w:r>
      <w:r>
        <w:rPr>
          <w:color w:val="000000"/>
          <w:spacing w:val="-1"/>
          <w:sz w:val="26"/>
          <w:szCs w:val="26"/>
        </w:rPr>
        <w:t>%)</w:t>
      </w:r>
      <w:r>
        <w:rPr>
          <w:color w:val="000000"/>
          <w:sz w:val="26"/>
          <w:szCs w:val="26"/>
        </w:rPr>
        <w:t xml:space="preserve">, 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не поддержано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9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(</w:t>
      </w:r>
      <w:r>
        <w:rPr>
          <w:rFonts w:eastAsia="Times New Roman" w:cs="Times New Roman"/>
          <w:color w:val="000000"/>
          <w:spacing w:val="-1"/>
          <w:kern w:val="0"/>
          <w:sz w:val="26"/>
          <w:szCs w:val="26"/>
          <w:lang w:val="ru-RU" w:eastAsia="ru-RU" w:bidi="ar-SA"/>
        </w:rPr>
        <w:t>23</w:t>
      </w:r>
      <w:r>
        <w:rPr>
          <w:color w:val="000000"/>
          <w:spacing w:val="-1"/>
          <w:sz w:val="26"/>
          <w:szCs w:val="26"/>
        </w:rPr>
        <w:t xml:space="preserve">%), 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перенаправлено — </w:t>
      </w:r>
      <w:r>
        <w:rPr>
          <w:rFonts w:eastAsia="Times New Roman" w:cs="Times New Roman"/>
          <w:color w:val="000000"/>
          <w:spacing w:val="-1"/>
          <w:kern w:val="0"/>
          <w:sz w:val="26"/>
          <w:szCs w:val="26"/>
          <w:lang w:val="ru-RU" w:eastAsia="ru-RU" w:bidi="ar-SA"/>
        </w:rPr>
        <w:t>3</w:t>
      </w:r>
      <w:r>
        <w:rPr>
          <w:color w:val="000000"/>
          <w:spacing w:val="-1"/>
          <w:sz w:val="26"/>
          <w:szCs w:val="26"/>
        </w:rPr>
        <w:t xml:space="preserve"> (</w:t>
      </w:r>
      <w:r>
        <w:rPr>
          <w:rFonts w:eastAsia="Times New Roman" w:cs="Times New Roman"/>
          <w:color w:val="000000"/>
          <w:spacing w:val="-1"/>
          <w:kern w:val="0"/>
          <w:sz w:val="26"/>
          <w:szCs w:val="26"/>
          <w:lang w:val="ru-RU" w:eastAsia="ru-RU" w:bidi="ar-SA"/>
        </w:rPr>
        <w:t>8</w:t>
      </w:r>
      <w:r>
        <w:rPr>
          <w:color w:val="000000"/>
          <w:spacing w:val="-1"/>
          <w:sz w:val="26"/>
          <w:szCs w:val="26"/>
        </w:rPr>
        <w:t>%),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>на рассмотрении — 6 (15%).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Всем заявителям ответы направлены в срок</w:t>
      </w:r>
      <w:r>
        <w:rPr>
          <w:sz w:val="26"/>
          <w:szCs w:val="26"/>
        </w:rPr>
        <w:t>.</w:t>
      </w:r>
      <w:r>
        <w:rPr>
          <w:spacing w:val="-1"/>
          <w:sz w:val="26"/>
          <w:szCs w:val="26"/>
        </w:rPr>
        <w:t xml:space="preserve"> 6 обращений находятся в стадии рассмотрения, срок которых истекает в </w:t>
      </w:r>
      <w:r>
        <w:rPr>
          <w:rFonts w:eastAsia="Times New Roman" w:cs="Times New Roman"/>
          <w:color w:val="auto"/>
          <w:spacing w:val="-1"/>
          <w:kern w:val="0"/>
          <w:sz w:val="26"/>
          <w:szCs w:val="26"/>
          <w:lang w:val="ru-RU" w:eastAsia="ru-RU" w:bidi="ar-SA"/>
        </w:rPr>
        <w:t>июле</w:t>
      </w:r>
      <w:r>
        <w:rPr>
          <w:spacing w:val="-1"/>
          <w:sz w:val="26"/>
          <w:szCs w:val="26"/>
        </w:rPr>
        <w:t xml:space="preserve"> 2023 года.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За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II</w:t>
      </w:r>
      <w:r>
        <w:rPr>
          <w:sz w:val="26"/>
          <w:szCs w:val="26"/>
        </w:rPr>
        <w:t xml:space="preserve">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квартал</w:t>
      </w:r>
      <w:r>
        <w:rPr>
          <w:sz w:val="26"/>
          <w:szCs w:val="26"/>
        </w:rPr>
        <w:t xml:space="preserve"> 2023 г.  на прием к руководящему составу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 xml:space="preserve">обратился               1 </w:t>
      </w:r>
      <w:r>
        <w:rPr>
          <w:sz w:val="26"/>
          <w:szCs w:val="26"/>
        </w:rPr>
        <w:t xml:space="preserve">гражданин (2022г. –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0</w:t>
      </w:r>
      <w:r>
        <w:rPr>
          <w:sz w:val="26"/>
          <w:szCs w:val="26"/>
        </w:rPr>
        <w:t>).</w:t>
      </w:r>
    </w:p>
    <w:p>
      <w:pPr>
        <w:pStyle w:val="Normal"/>
        <w:jc w:val="both"/>
        <w:rPr>
          <w:sz w:val="26"/>
          <w:szCs w:val="26"/>
        </w:rPr>
      </w:pPr>
      <w:r>
        <w:rPr>
          <w:spacing w:val="-1"/>
          <w:sz w:val="26"/>
          <w:szCs w:val="26"/>
        </w:rPr>
        <w:tab/>
      </w:r>
      <w:r>
        <w:rPr>
          <w:color w:val="000000"/>
          <w:spacing w:val="-1"/>
          <w:sz w:val="26"/>
          <w:szCs w:val="26"/>
        </w:rPr>
        <w:t>Нарушений прав и охраняемых законом интересов граждан не допущено.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sz w:val="26"/>
          <w:szCs w:val="26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134" w:gutter="0" w:header="708" w:top="1134" w:footer="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Cs w:val="22"/>
        <w:lang w:val="ru-RU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>
    <w:name w:val="Ниж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6">
    <w:name w:val="Текст выноски Знак"/>
    <w:basedOn w:val="DefaultParagraphFont"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user">
    <w:name w:val="Привязка сноски (user)"/>
    <w:qFormat/>
    <w:rPr>
      <w:vertAlign w:val="superscript"/>
    </w:rPr>
  </w:style>
  <w:style w:type="character" w:styleId="FootnoteCharacters">
    <w:name w:val="Footnote Characters"/>
    <w:basedOn w:val="DefaultParagraphFont"/>
    <w:qFormat/>
    <w:rPr>
      <w:vertAlign w:val="superscript"/>
    </w:rPr>
  </w:style>
  <w:style w:type="character" w:styleId="user1">
    <w:name w:val="Символ сноски (user)"/>
    <w:qFormat/>
    <w:rPr/>
  </w:style>
  <w:style w:type="character" w:styleId="user2">
    <w:name w:val="Привязка концевой сноски (user)"/>
    <w:qFormat/>
    <w:rPr>
      <w:vertAlign w:val="superscript"/>
    </w:rPr>
  </w:style>
  <w:style w:type="character" w:styleId="user3">
    <w:name w:val="Символ концевой сноски (user)"/>
    <w:qFormat/>
    <w:rPr/>
  </w:style>
  <w:style w:type="character" w:styleId="Style18">
    <w:name w:val="Символ сноски"/>
    <w:qFormat/>
    <w:rPr/>
  </w:style>
  <w:style w:type="character" w:styleId="FootnoteReference">
    <w:name w:val="footnote reference"/>
    <w:rPr>
      <w:vertAlign w:val="superscript"/>
    </w:rPr>
  </w:style>
  <w:style w:type="paragraph" w:styleId="Style19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4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5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Колонтитулы"/>
    <w:basedOn w:val="Normal"/>
    <w:qFormat/>
    <w:pPr/>
    <w:rPr/>
  </w:style>
  <w:style w:type="paragraph" w:styleId="Header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qFormat/>
    <w:pPr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pPr/>
    <w:rPr/>
  </w:style>
  <w:style w:type="numbering" w:styleId="Style23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2550</TotalTime>
  <Application>LibreOffice/25.2.6.2$Linux_X86_64 LibreOffice_project/520$Build-2</Application>
  <AppVersion>15.0000</AppVersion>
  <DocSecurity>0</DocSecurity>
  <Pages>1</Pages>
  <Words>275</Words>
  <Characters>1778</Characters>
  <CharactersWithSpaces>2112</CharactersWithSpaces>
  <Paragraphs>27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2016-02-08T10:16:00Z</dcterms:created>
  <dc:creator>МВД</dc:creator>
  <dc:description/>
  <dc:language>ru-RU</dc:language>
  <cp:lastModifiedBy/>
  <cp:lastPrinted>2023-08-03T16:52:13Z</cp:lastPrinted>
  <dcterms:modified xsi:type="dcterms:W3CDTF">2026-06-17T14:57:22Z</dcterms:modified>
  <cp:revision>93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