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8"/>
          <w:szCs w:val="28"/>
        </w:rPr>
      </w:pPr>
      <w:bookmarkStart w:id="0" w:name="_GoBack"/>
      <w:bookmarkEnd w:id="0"/>
      <w:r>
        <w:rPr>
          <w:rFonts w:cs="Times New Roman"/>
          <w:b/>
          <w:sz w:val="28"/>
          <w:szCs w:val="28"/>
        </w:rPr>
        <w:t>О состоянии работы с предложениями, заявлениями и жалобами граждан и организаций, организации личного приема в Управлении Росгвардии по Саратовской области в</w:t>
      </w:r>
      <w:r>
        <w:rPr>
          <w:rFonts w:cs="Times New Roman"/>
          <w:b/>
          <w:sz w:val="28"/>
          <w:szCs w:val="28"/>
        </w:rPr>
        <w:t>о втором</w:t>
      </w:r>
      <w:r>
        <w:rPr>
          <w:rFonts w:cs="Times New Roman"/>
          <w:b/>
          <w:sz w:val="28"/>
          <w:szCs w:val="28"/>
        </w:rPr>
        <w:t xml:space="preserve"> квартале 2022 года</w:t>
      </w:r>
    </w:p>
    <w:p>
      <w:pPr>
        <w:pStyle w:val="Normal"/>
        <w:jc w:val="center"/>
        <w:rPr>
          <w:rFonts w:ascii="Times New Roman" w:hAnsi="Times New Roman" w:cs="Times New Roman"/>
          <w:b/>
        </w:rPr>
      </w:pPr>
      <w:r>
        <w:rPr>
          <w:rFonts w:cs="Times New Roman"/>
          <w:b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ab/>
        <w:t>Работа с обращениями, признанная  обеспечить соблюдение, охрану, защиту, а при необходимости и восстановление нарушенных конституционных прав и законных интересов граждан, была и остается важнейшим направлением деятельности Росгвардии.</w:t>
      </w:r>
    </w:p>
    <w:p>
      <w:pPr>
        <w:pStyle w:val="Normal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Всего за </w:t>
      </w:r>
      <w:r>
        <w:rPr>
          <w:rFonts w:eastAsia="Times New Roman" w:cs="Times New Roman"/>
          <w:color w:val="auto"/>
          <w:kern w:val="0"/>
          <w:sz w:val="28"/>
          <w:szCs w:val="28"/>
          <w:lang w:val="en-US" w:eastAsia="ru-RU" w:bidi="ar-SA"/>
        </w:rPr>
        <w:t>II</w:t>
      </w:r>
      <w:r>
        <w:rPr>
          <w:sz w:val="28"/>
          <w:szCs w:val="28"/>
        </w:rPr>
        <w:t xml:space="preserve"> квартал 2022 г. в Управлении Росгвардии по Саратовской области зарегистрировано </w:t>
      </w:r>
      <w:r>
        <w:rPr>
          <w:rFonts w:eastAsia="Times New Roman" w:cs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55</w:t>
      </w:r>
      <w:r>
        <w:rPr>
          <w:b w:val="false"/>
          <w:bCs w:val="false"/>
          <w:sz w:val="28"/>
          <w:szCs w:val="28"/>
        </w:rPr>
        <w:t xml:space="preserve"> обращений</w:t>
      </w:r>
      <w:r>
        <w:rPr>
          <w:rFonts w:eastAsia="Times New Roman" w:cs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 xml:space="preserve"> (в 2021 г. - </w:t>
      </w:r>
      <w:r>
        <w:rPr>
          <w:rFonts w:eastAsia="Times New Roman" w:cs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42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)</w:t>
      </w:r>
      <w:r>
        <w:rPr>
          <w:sz w:val="28"/>
          <w:szCs w:val="28"/>
        </w:rPr>
        <w:t xml:space="preserve">, из них                           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1</w:t>
      </w:r>
      <w:r>
        <w:rPr>
          <w:color w:val="C9211E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обращение аналогичное. </w:t>
      </w:r>
    </w:p>
    <w:p>
      <w:pPr>
        <w:pStyle w:val="Normal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общего числа обращений: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36</w:t>
      </w:r>
      <w:r>
        <w:rPr>
          <w:sz w:val="28"/>
          <w:szCs w:val="28"/>
        </w:rPr>
        <w:t xml:space="preserve"> заявлений,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1</w:t>
      </w:r>
      <w:r>
        <w:rPr>
          <w:sz w:val="28"/>
          <w:szCs w:val="28"/>
        </w:rPr>
        <w:t xml:space="preserve"> жалоба,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15</w:t>
      </w:r>
      <w:r>
        <w:rPr>
          <w:sz w:val="28"/>
          <w:szCs w:val="28"/>
        </w:rPr>
        <w:t xml:space="preserve"> рапортов,                 2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запроса, 1 благодарность</w:t>
      </w:r>
      <w:r>
        <w:rPr>
          <w:sz w:val="28"/>
          <w:szCs w:val="28"/>
        </w:rPr>
        <w:t xml:space="preserve">.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Жалоба находится на рассмотрении в</w:t>
      </w:r>
      <w:r>
        <w:rPr>
          <w:sz w:val="28"/>
          <w:szCs w:val="28"/>
        </w:rPr>
        <w:t xml:space="preserve"> ФГКУ УВО, по данной жалобе проводится проверка. </w:t>
      </w:r>
    </w:p>
    <w:p>
      <w:pPr>
        <w:pStyle w:val="Normal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Обращения поступали из:</w:t>
      </w:r>
    </w:p>
    <w:p>
      <w:pPr>
        <w:pStyle w:val="Normal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Ц</w:t>
      </w:r>
      <w:r>
        <w:rPr>
          <w:color w:val="000000"/>
          <w:sz w:val="28"/>
          <w:szCs w:val="28"/>
        </w:rPr>
        <w:t xml:space="preserve">А Росгвардии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3</w:t>
      </w:r>
      <w:r>
        <w:rPr>
          <w:color w:val="000000"/>
          <w:sz w:val="28"/>
          <w:szCs w:val="28"/>
        </w:rPr>
        <w:t xml:space="preserve"> (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5,5</w:t>
      </w:r>
      <w:r>
        <w:rPr>
          <w:color w:val="000000"/>
          <w:sz w:val="28"/>
          <w:szCs w:val="28"/>
        </w:rPr>
        <w:t>%);</w:t>
      </w:r>
    </w:p>
    <w:p>
      <w:pPr>
        <w:pStyle w:val="Normal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ПривО — 1 (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2</w:t>
      </w:r>
      <w:r>
        <w:rPr>
          <w:color w:val="000000"/>
          <w:sz w:val="28"/>
          <w:szCs w:val="28"/>
        </w:rPr>
        <w:t>%);</w:t>
      </w:r>
    </w:p>
    <w:p>
      <w:pPr>
        <w:pStyle w:val="Normal"/>
        <w:ind w:firstLine="720"/>
        <w:jc w:val="both"/>
        <w:rPr>
          <w:color w:val="000000"/>
        </w:rPr>
      </w:pPr>
      <w:r>
        <w:rPr>
          <w:color w:val="000000"/>
          <w:sz w:val="28"/>
          <w:szCs w:val="28"/>
        </w:rPr>
        <w:t xml:space="preserve">Прокуратур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1</w:t>
      </w:r>
      <w:r>
        <w:rPr>
          <w:color w:val="000000"/>
          <w:sz w:val="28"/>
          <w:szCs w:val="28"/>
        </w:rPr>
        <w:t xml:space="preserve"> (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2</w:t>
      </w:r>
      <w:r>
        <w:rPr>
          <w:color w:val="000000"/>
          <w:sz w:val="28"/>
          <w:szCs w:val="28"/>
        </w:rPr>
        <w:t>%);</w:t>
      </w:r>
    </w:p>
    <w:p>
      <w:pPr>
        <w:pStyle w:val="Normal"/>
        <w:ind w:firstLine="720"/>
        <w:jc w:val="both"/>
        <w:rPr>
          <w:color w:val="000000"/>
        </w:rPr>
      </w:pPr>
      <w:r>
        <w:rPr>
          <w:color w:val="000000"/>
          <w:sz w:val="28"/>
          <w:szCs w:val="28"/>
        </w:rPr>
        <w:t xml:space="preserve">Организаций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5</w:t>
      </w:r>
      <w:r>
        <w:rPr>
          <w:color w:val="000000"/>
          <w:sz w:val="28"/>
          <w:szCs w:val="28"/>
        </w:rPr>
        <w:t xml:space="preserve"> (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10</w:t>
      </w:r>
      <w:r>
        <w:rPr>
          <w:color w:val="000000"/>
          <w:sz w:val="28"/>
          <w:szCs w:val="28"/>
        </w:rPr>
        <w:t>%);</w:t>
      </w:r>
    </w:p>
    <w:p>
      <w:pPr>
        <w:pStyle w:val="Normal"/>
        <w:ind w:firstLine="720"/>
        <w:jc w:val="both"/>
        <w:rPr>
          <w:color w:val="000000"/>
        </w:rPr>
      </w:pPr>
      <w:r>
        <w:rPr>
          <w:color w:val="000000"/>
          <w:sz w:val="28"/>
          <w:szCs w:val="28"/>
        </w:rPr>
        <w:t xml:space="preserve">От граждан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30</w:t>
      </w:r>
      <w:r>
        <w:rPr>
          <w:color w:val="000000"/>
          <w:sz w:val="28"/>
          <w:szCs w:val="28"/>
        </w:rPr>
        <w:t xml:space="preserve"> (54,5%);</w:t>
      </w:r>
    </w:p>
    <w:p>
      <w:pPr>
        <w:pStyle w:val="Normal"/>
        <w:ind w:firstLine="720"/>
        <w:jc w:val="both"/>
        <w:rPr>
          <w:color w:val="000000"/>
        </w:rPr>
      </w:pPr>
      <w:r>
        <w:rPr>
          <w:color w:val="000000"/>
          <w:sz w:val="28"/>
          <w:szCs w:val="28"/>
        </w:rPr>
        <w:t xml:space="preserve">От сотрудников —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15</w:t>
      </w:r>
      <w:r>
        <w:rPr>
          <w:color w:val="000000"/>
          <w:sz w:val="28"/>
          <w:szCs w:val="28"/>
        </w:rPr>
        <w:t xml:space="preserve"> (27%).</w:t>
      </w:r>
    </w:p>
    <w:p>
      <w:pPr>
        <w:pStyle w:val="Normal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Тематический анализ свид</w:t>
      </w:r>
      <w:r>
        <w:rPr>
          <w:sz w:val="28"/>
          <w:szCs w:val="28"/>
        </w:rPr>
        <w:t xml:space="preserve">етельствует о доминирующей части обращений, затрагивающих вопросы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приема, увольнения, восстановления и перевода сотрудников</w:t>
      </w:r>
      <w:r>
        <w:rPr>
          <w:color w:val="000000"/>
          <w:sz w:val="28"/>
          <w:szCs w:val="28"/>
        </w:rPr>
        <w:t xml:space="preserve"> —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21. Так же граждане обращались по вопросам: лицензионно-разрешительньой работы — 11; финансового обеспечения — 7; работы подразделений вневедомственной охраны — 5; по иным вопросам — 11</w:t>
      </w:r>
      <w:r>
        <w:rPr>
          <w:color w:val="000000"/>
          <w:sz w:val="28"/>
          <w:szCs w:val="28"/>
        </w:rPr>
        <w:t>.</w:t>
      </w:r>
    </w:p>
    <w:p>
      <w:pPr>
        <w:pStyle w:val="Normal"/>
        <w:ind w:firstLine="708"/>
        <w:jc w:val="both"/>
        <w:rPr>
          <w:spacing w:val="-1"/>
          <w:sz w:val="28"/>
          <w:szCs w:val="28"/>
        </w:rPr>
      </w:pP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По итогам рассмотрения обращений:</w:t>
      </w:r>
    </w:p>
    <w:p>
      <w:pPr>
        <w:pStyle w:val="Normal"/>
        <w:ind w:firstLine="708"/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 xml:space="preserve">разъяснено – 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5</w:t>
      </w:r>
      <w:r>
        <w:rPr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(</w:t>
      </w:r>
      <w:r>
        <w:rPr>
          <w:rFonts w:eastAsia="Times New Roman" w:cs="Times New Roman"/>
          <w:color w:val="000000"/>
          <w:spacing w:val="-1"/>
          <w:kern w:val="0"/>
          <w:sz w:val="28"/>
          <w:szCs w:val="28"/>
          <w:lang w:val="ru-RU" w:eastAsia="ru-RU" w:bidi="ar-SA"/>
        </w:rPr>
        <w:t>10</w:t>
      </w:r>
      <w:r>
        <w:rPr>
          <w:color w:val="000000"/>
          <w:spacing w:val="-1"/>
          <w:sz w:val="28"/>
          <w:szCs w:val="28"/>
        </w:rPr>
        <w:t>%)</w:t>
      </w:r>
      <w:r>
        <w:rPr>
          <w:color w:val="000000"/>
          <w:sz w:val="28"/>
          <w:szCs w:val="28"/>
        </w:rPr>
        <w:t xml:space="preserve">, </w:t>
      </w:r>
    </w:p>
    <w:p>
      <w:pPr>
        <w:pStyle w:val="Normal"/>
        <w:ind w:firstLine="708"/>
        <w:jc w:val="both"/>
        <w:rPr>
          <w:color w:val="000000"/>
        </w:rPr>
      </w:pPr>
      <w:r>
        <w:rPr>
          <w:color w:val="000000"/>
          <w:sz w:val="28"/>
          <w:szCs w:val="28"/>
        </w:rPr>
        <w:t xml:space="preserve">поддержано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19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(</w:t>
      </w:r>
      <w:r>
        <w:rPr>
          <w:rFonts w:eastAsia="Times New Roman" w:cs="Times New Roman"/>
          <w:color w:val="000000"/>
          <w:spacing w:val="-1"/>
          <w:kern w:val="0"/>
          <w:sz w:val="28"/>
          <w:szCs w:val="28"/>
          <w:lang w:val="ru-RU" w:eastAsia="ru-RU" w:bidi="ar-SA"/>
        </w:rPr>
        <w:t>34,5</w:t>
      </w:r>
      <w:r>
        <w:rPr>
          <w:color w:val="000000"/>
          <w:spacing w:val="-1"/>
          <w:sz w:val="28"/>
          <w:szCs w:val="28"/>
        </w:rPr>
        <w:t>%)</w:t>
      </w:r>
      <w:r>
        <w:rPr>
          <w:color w:val="000000"/>
          <w:sz w:val="28"/>
          <w:szCs w:val="28"/>
        </w:rPr>
        <w:t xml:space="preserve">, </w:t>
      </w:r>
    </w:p>
    <w:p>
      <w:pPr>
        <w:pStyle w:val="Normal"/>
        <w:ind w:firstLine="708"/>
        <w:jc w:val="both"/>
        <w:rPr>
          <w:color w:val="000000"/>
        </w:rPr>
      </w:pPr>
      <w:r>
        <w:rPr>
          <w:color w:val="000000"/>
          <w:sz w:val="28"/>
          <w:szCs w:val="28"/>
        </w:rPr>
        <w:t xml:space="preserve">не поддержано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12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(</w:t>
      </w:r>
      <w:r>
        <w:rPr>
          <w:rFonts w:eastAsia="Times New Roman" w:cs="Times New Roman"/>
          <w:color w:val="000000"/>
          <w:spacing w:val="-1"/>
          <w:kern w:val="0"/>
          <w:sz w:val="28"/>
          <w:szCs w:val="28"/>
          <w:lang w:val="ru-RU" w:eastAsia="ru-RU" w:bidi="ar-SA"/>
        </w:rPr>
        <w:t>22</w:t>
      </w:r>
      <w:r>
        <w:rPr>
          <w:color w:val="000000"/>
          <w:spacing w:val="-1"/>
          <w:sz w:val="28"/>
          <w:szCs w:val="28"/>
        </w:rPr>
        <w:t xml:space="preserve">%), </w:t>
      </w:r>
    </w:p>
    <w:p>
      <w:pPr>
        <w:pStyle w:val="Normal"/>
        <w:ind w:firstLine="708"/>
        <w:jc w:val="both"/>
        <w:rPr>
          <w:color w:val="000000"/>
        </w:rPr>
      </w:pPr>
      <w:r>
        <w:rPr>
          <w:color w:val="000000"/>
          <w:spacing w:val="-1"/>
          <w:sz w:val="28"/>
          <w:szCs w:val="28"/>
        </w:rPr>
        <w:t>перенаправлено — 10 (</w:t>
      </w:r>
      <w:r>
        <w:rPr>
          <w:rFonts w:eastAsia="Times New Roman" w:cs="Times New Roman"/>
          <w:color w:val="000000"/>
          <w:spacing w:val="-1"/>
          <w:kern w:val="0"/>
          <w:sz w:val="28"/>
          <w:szCs w:val="28"/>
          <w:lang w:val="ru-RU" w:eastAsia="ru-RU" w:bidi="ar-SA"/>
        </w:rPr>
        <w:t>19</w:t>
      </w:r>
      <w:r>
        <w:rPr>
          <w:color w:val="000000"/>
          <w:spacing w:val="-1"/>
          <w:sz w:val="28"/>
          <w:szCs w:val="28"/>
        </w:rPr>
        <w:t>%).</w:t>
      </w:r>
      <w:r>
        <w:rPr>
          <w:color w:val="000000"/>
          <w:sz w:val="28"/>
          <w:szCs w:val="28"/>
        </w:rPr>
        <w:t xml:space="preserve"> </w:t>
      </w:r>
    </w:p>
    <w:p>
      <w:pPr>
        <w:pStyle w:val="Normal"/>
        <w:ind w:firstLine="708"/>
        <w:jc w:val="both"/>
        <w:rPr>
          <w:spacing w:val="-1"/>
          <w:sz w:val="28"/>
          <w:szCs w:val="28"/>
        </w:rPr>
      </w:pPr>
      <w:r>
        <w:rPr>
          <w:color w:val="000000"/>
          <w:sz w:val="28"/>
          <w:szCs w:val="28"/>
        </w:rPr>
        <w:t xml:space="preserve">в стадии рассмотрения -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8</w:t>
      </w:r>
      <w:r>
        <w:rPr>
          <w:color w:val="000000"/>
          <w:sz w:val="28"/>
          <w:szCs w:val="28"/>
        </w:rPr>
        <w:t xml:space="preserve"> (14,5</w:t>
      </w:r>
      <w:r>
        <w:rPr>
          <w:sz w:val="28"/>
          <w:szCs w:val="28"/>
        </w:rPr>
        <w:t>%), срок рассмотрения котор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ого</w:t>
      </w:r>
      <w:r>
        <w:rPr>
          <w:sz w:val="28"/>
          <w:szCs w:val="28"/>
        </w:rPr>
        <w:t xml:space="preserve"> истекает в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 xml:space="preserve">июле 2022 </w:t>
      </w:r>
      <w:r>
        <w:rPr>
          <w:sz w:val="28"/>
          <w:szCs w:val="28"/>
        </w:rPr>
        <w:t>г.</w:t>
      </w:r>
      <w:r>
        <w:rPr>
          <w:spacing w:val="-1"/>
          <w:sz w:val="28"/>
          <w:szCs w:val="28"/>
        </w:rPr>
        <w:t xml:space="preserve"> </w:t>
      </w:r>
    </w:p>
    <w:p>
      <w:pPr>
        <w:pStyle w:val="Normal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II</w:t>
      </w:r>
      <w:r>
        <w:rPr>
          <w:sz w:val="28"/>
          <w:szCs w:val="28"/>
        </w:rPr>
        <w:t xml:space="preserve">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квартал</w:t>
      </w:r>
      <w:r>
        <w:rPr>
          <w:sz w:val="28"/>
          <w:szCs w:val="28"/>
        </w:rPr>
        <w:t xml:space="preserve"> 2022 г. граждане на личном приеме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не обращались</w:t>
      </w:r>
      <w:r>
        <w:rPr>
          <w:sz w:val="28"/>
          <w:szCs w:val="28"/>
        </w:rPr>
        <w:t xml:space="preserve"> (2021г. –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3</w:t>
      </w:r>
      <w:r>
        <w:rPr>
          <w:sz w:val="28"/>
          <w:szCs w:val="28"/>
        </w:rPr>
        <w:t>).</w:t>
      </w:r>
    </w:p>
    <w:p>
      <w:pPr>
        <w:pStyle w:val="Normal"/>
        <w:jc w:val="both"/>
        <w:rPr>
          <w:color w:val="000000"/>
          <w:spacing w:val="-1"/>
          <w:sz w:val="28"/>
          <w:szCs w:val="28"/>
        </w:rPr>
      </w:pPr>
      <w:r>
        <w:rPr>
          <w:spacing w:val="-1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Нарушений прав и охраняемых законом интересов граждан не допущено.</w:t>
      </w:r>
    </w:p>
    <w:p>
      <w:pPr>
        <w:pStyle w:val="Normal"/>
        <w:ind w:firstLine="708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</w:r>
    </w:p>
    <w:p>
      <w:pPr>
        <w:pStyle w:val="Normal"/>
        <w:ind w:firstLine="708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708" w:top="1134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331756544"/>
    </w:sdtPr>
    <w:sdtContent>
      <w:p>
        <w:pPr>
          <w:pStyle w:val="Header"/>
          <w:jc w:val="center"/>
          <w:rPr/>
        </w:pPr>
        <w:r>
          <w:rPr/>
        </w:r>
      </w:p>
      <w:p>
        <w:pPr>
          <w:pStyle w:val="Header"/>
          <w:rPr/>
        </w:pPr>
        <w:r>
          <w:rPr/>
        </w:r>
      </w:p>
    </w:sdtContent>
  </w:sdt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b578b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rsid w:val="00803571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 w:customStyle="1">
    <w:name w:val="Нижний колонтитул Знак"/>
    <w:basedOn w:val="DefaultParagraphFont"/>
    <w:uiPriority w:val="99"/>
    <w:qFormat/>
    <w:rsid w:val="00803571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 w:customStyle="1">
    <w:name w:val="Текст выноски Знак"/>
    <w:basedOn w:val="DefaultParagraphFont"/>
    <w:uiPriority w:val="99"/>
    <w:semiHidden/>
    <w:qFormat/>
    <w:rsid w:val="00803571"/>
    <w:rPr>
      <w:rFonts w:ascii="Segoe UI" w:hAnsi="Segoe UI" w:eastAsia="Times New Roman" w:cs="Segoe UI"/>
      <w:sz w:val="18"/>
      <w:szCs w:val="18"/>
      <w:lang w:eastAsia="ru-RU"/>
    </w:rPr>
  </w:style>
  <w:style w:type="character" w:styleId="Style17" w:customStyle="1">
    <w:name w:val="Текст сноски Знак"/>
    <w:basedOn w:val="DefaultParagraphFont"/>
    <w:uiPriority w:val="99"/>
    <w:semiHidden/>
    <w:qFormat/>
    <w:rsid w:val="0037282b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user">
    <w:name w:val="Привязка сноски (user)"/>
    <w:qFormat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37282b"/>
    <w:rPr>
      <w:vertAlign w:val="superscript"/>
    </w:rPr>
  </w:style>
  <w:style w:type="character" w:styleId="user1">
    <w:name w:val="Символ сноски (user)"/>
    <w:qFormat/>
    <w:rPr/>
  </w:style>
  <w:style w:type="character" w:styleId="user2">
    <w:name w:val="Привязка концевой сноски (user)"/>
    <w:qFormat/>
    <w:rPr>
      <w:vertAlign w:val="superscript"/>
    </w:rPr>
  </w:style>
  <w:style w:type="character" w:styleId="user3">
    <w:name w:val="Символ концевой сноски (user)"/>
    <w:qFormat/>
    <w:rPr/>
  </w:style>
  <w:style w:type="character" w:styleId="Style18">
    <w:name w:val="Символ сноски"/>
    <w:qFormat/>
    <w:rPr/>
  </w:style>
  <w:style w:type="character" w:styleId="FootnoteReference">
    <w:name w:val="footnote reference"/>
    <w:rPr>
      <w:vertAlign w:val="superscript"/>
    </w:rPr>
  </w:style>
  <w:style w:type="paragraph" w:styleId="Style19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4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5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Колонтитулы"/>
    <w:basedOn w:val="Normal"/>
    <w:qFormat/>
    <w:pPr/>
    <w:rPr/>
  </w:style>
  <w:style w:type="paragraph" w:styleId="Header">
    <w:name w:val="header"/>
    <w:basedOn w:val="Normal"/>
    <w:uiPriority w:val="99"/>
    <w:unhideWhenUsed/>
    <w:rsid w:val="00803571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uiPriority w:val="99"/>
    <w:unhideWhenUsed/>
    <w:rsid w:val="00803571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uiPriority w:val="99"/>
    <w:semiHidden/>
    <w:unhideWhenUsed/>
    <w:qFormat/>
    <w:rsid w:val="00803571"/>
    <w:pPr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uiPriority w:val="99"/>
    <w:semiHidden/>
    <w:unhideWhenUsed/>
    <w:rsid w:val="0037282b"/>
    <w:pPr/>
    <w:rPr/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0DAB41-9286-46FF-98EE-029336E6F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2424</TotalTime>
  <Application>LibreOffice/25.2.6.2$Linux_X86_64 LibreOffice_project/520$Build-2</Application>
  <AppVersion>15.0000</AppVersion>
  <DocSecurity>0</DocSecurity>
  <Pages>1</Pages>
  <Words>217</Words>
  <Characters>1379</Characters>
  <CharactersWithSpaces>1646</CharactersWithSpaces>
  <Paragraphs>20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2016-02-08T10:16:00Z</dcterms:created>
  <dc:creator>МВД</dc:creator>
  <dc:description/>
  <dc:language>ru-RU</dc:language>
  <cp:lastModifiedBy/>
  <cp:lastPrinted>2022-07-01T17:33:53Z</cp:lastPrinted>
  <dcterms:modified xsi:type="dcterms:W3CDTF">2026-06-17T14:51:56Z</dcterms:modified>
  <cp:revision>81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